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shape id="_x0000_s1029" o:spid="_x0000_s1029" o:spt="136" type="#_x0000_t136" style="position:absolute;left:0pt;margin-left:5.15pt;margin-top:7.15pt;height:84.75pt;width:436.6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滕政办发〔201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line id="_x0000_s1030" o:spid="_x0000_s1030" o:spt="20" style="position:absolute;left:0pt;margin-left:14.15pt;margin-top:9.55pt;height:0.05pt;width:405pt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滕州市人民政府办公室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关于调整滕州市推进政府职能转变和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“放管服”改革协调小组的通知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rPr>
          <w:rFonts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各镇人民政府、街道办事处，滕州经济开发区管委会，市政府各部门，各企事业单位：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为贯彻落实党的十九大和十九届二中、三中全会精神，深入推进简政放权、放管结合、优化服务改革，加快政府职能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转变，根据省、枣庄市部署要求和改革变化，市政府决定调整</w:t>
      </w:r>
      <w:r>
        <w:rPr>
          <w:rFonts w:hint="eastAsia" w:ascii="仿宋_GB2312" w:hAnsi="仿宋" w:eastAsia="仿宋_GB2312" w:cs="仿宋_GB2312"/>
          <w:sz w:val="32"/>
          <w:szCs w:val="32"/>
        </w:rPr>
        <w:t>市政府议事协调机构涉及的滕州市推进政府职能转变和“放管服”改革协调小组（以下简称协调小组）。现将有关事项通知如下：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一、协调小组组成人员及主要职责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</w:t>
      </w:r>
      <w:r>
        <w:rPr>
          <w:rFonts w:ascii="楷体_GB2312" w:hAnsi="楷体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_GB2312"/>
          <w:sz w:val="32"/>
          <w:szCs w:val="32"/>
        </w:rPr>
        <w:t>组成人员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马宏伟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市委副书记、市政府代市长</w:t>
      </w:r>
    </w:p>
    <w:p>
      <w:pPr>
        <w:adjustRightInd w:val="0"/>
        <w:snapToGrid w:val="0"/>
        <w:spacing w:line="600" w:lineRule="exact"/>
        <w:ind w:left="3358" w:leftChars="304" w:hanging="2720" w:hangingChars="8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王  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市委常委、市政府常务副市长</w:t>
      </w:r>
    </w:p>
    <w:p>
      <w:pPr>
        <w:adjustRightInd w:val="0"/>
        <w:snapToGrid w:val="0"/>
        <w:spacing w:line="600" w:lineRule="exact"/>
        <w:ind w:left="3358" w:leftChars="304" w:hanging="2720" w:hangingChars="85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樊  猛  市政府副市长、市行政审批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_GB2312"/>
          <w:sz w:val="32"/>
          <w:szCs w:val="32"/>
        </w:rPr>
        <w:t>局党组</w:t>
      </w:r>
    </w:p>
    <w:p>
      <w:pPr>
        <w:adjustRightInd w:val="0"/>
        <w:snapToGrid w:val="0"/>
        <w:spacing w:line="600" w:lineRule="exact"/>
        <w:ind w:firstLine="3200" w:firstLineChars="10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书记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　员：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董鸿洋 </w:t>
      </w:r>
      <w:r>
        <w:rPr>
          <w:rFonts w:ascii="仿宋_GB2312" w:hAnsi="仿宋" w:eastAsia="仿宋_GB2312" w:cs="仿宋_GB2312"/>
          <w:sz w:val="32"/>
          <w:szCs w:val="32"/>
        </w:rPr>
        <w:t xml:space="preserve"> 市政府</w:t>
      </w:r>
      <w:r>
        <w:rPr>
          <w:rFonts w:hint="eastAsia" w:ascii="仿宋_GB2312" w:hAnsi="仿宋" w:eastAsia="仿宋_GB2312" w:cs="仿宋_GB2312"/>
          <w:sz w:val="32"/>
          <w:szCs w:val="32"/>
        </w:rPr>
        <w:t>办公室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主任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段修进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市委组织部副部长、市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_GB2312"/>
          <w:sz w:val="32"/>
          <w:szCs w:val="32"/>
        </w:rPr>
        <w:t>编办主任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刘玉继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市委市政府督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办中心主任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" w:eastAsia="仿宋_GB2312" w:cs="仿宋_GB2312"/>
          <w:sz w:val="32"/>
          <w:szCs w:val="32"/>
        </w:rPr>
        <w:t>和信息化局局长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和体育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朱绍邦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朱光耀  </w:t>
      </w:r>
      <w:r>
        <w:rPr>
          <w:rFonts w:hint="eastAsia" w:ascii="仿宋_GB2312" w:hAnsi="仿宋" w:eastAsia="仿宋_GB2312" w:cs="仿宋_GB2312"/>
          <w:sz w:val="32"/>
          <w:szCs w:val="32"/>
        </w:rPr>
        <w:t>市民政局局长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宋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ascii="仿宋_GB2312" w:hAnsi="仿宋" w:eastAsia="仿宋_GB2312" w:cs="仿宋_GB2312"/>
          <w:sz w:val="32"/>
          <w:szCs w:val="32"/>
        </w:rPr>
        <w:t xml:space="preserve">捷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市人力资源和社会保障局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马兆鹏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市自然资源局局长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魏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超  </w:t>
      </w:r>
      <w:r>
        <w:rPr>
          <w:rFonts w:hint="eastAsia" w:ascii="仿宋_GB2312" w:hAnsi="仿宋" w:eastAsia="仿宋_GB2312" w:cs="仿宋_GB2312"/>
          <w:sz w:val="32"/>
          <w:szCs w:val="32"/>
        </w:rPr>
        <w:t>市交通运输局局长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李长瑞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城乡水务</w:t>
      </w:r>
      <w:r>
        <w:rPr>
          <w:rFonts w:hint="eastAsia" w:ascii="仿宋_GB2312" w:hAnsi="仿宋" w:eastAsia="仿宋_GB2312" w:cs="仿宋_GB2312"/>
          <w:sz w:val="32"/>
          <w:szCs w:val="32"/>
        </w:rPr>
        <w:t>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李广耀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市农业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孙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勇  </w:t>
      </w:r>
      <w:r>
        <w:rPr>
          <w:rFonts w:hint="eastAsia" w:ascii="仿宋_GB2312" w:hAnsi="仿宋" w:eastAsia="仿宋_GB2312" w:cs="仿宋_GB2312"/>
          <w:sz w:val="32"/>
          <w:szCs w:val="32"/>
        </w:rPr>
        <w:t>市行政审批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_GB2312"/>
          <w:sz w:val="32"/>
          <w:szCs w:val="32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left="3357" w:leftChars="913" w:hanging="1440" w:hangingChars="4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单金凤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市商务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和投资促进局局长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刘书巨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文化和</w:t>
      </w:r>
      <w:r>
        <w:rPr>
          <w:rFonts w:hint="eastAsia" w:ascii="仿宋_GB2312" w:hAnsi="仿宋" w:eastAsia="仿宋_GB2312" w:cs="仿宋_GB2312"/>
          <w:sz w:val="32"/>
          <w:szCs w:val="32"/>
        </w:rPr>
        <w:t>旅游局局长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孟祥磊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市卫生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" w:eastAsia="仿宋_GB2312" w:cs="仿宋_GB2312"/>
          <w:sz w:val="32"/>
          <w:szCs w:val="32"/>
        </w:rPr>
        <w:t>环境局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滕州分局</w:t>
      </w:r>
      <w:r>
        <w:rPr>
          <w:rFonts w:hint="eastAsia" w:ascii="仿宋_GB2312" w:hAnsi="仿宋" w:eastAsia="仿宋_GB2312" w:cs="仿宋_GB2312"/>
          <w:sz w:val="32"/>
          <w:szCs w:val="32"/>
        </w:rPr>
        <w:t>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张志强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市国有资产监督管理局局长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许方彬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市税务局局长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赵曰理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市文化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旅游发展中心主任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史孝峰  </w:t>
      </w:r>
      <w:r>
        <w:rPr>
          <w:rFonts w:hint="eastAsia" w:ascii="仿宋_GB2312" w:hAnsi="仿宋" w:eastAsia="仿宋_GB2312" w:cs="仿宋_GB2312"/>
          <w:sz w:val="32"/>
          <w:szCs w:val="32"/>
        </w:rPr>
        <w:t>市金融服务中心主任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徐美湖  </w:t>
      </w:r>
      <w:r>
        <w:rPr>
          <w:rFonts w:hint="eastAsia" w:ascii="仿宋_GB2312" w:hAnsi="仿宋" w:eastAsia="仿宋_GB2312" w:cs="仿宋_GB2312"/>
          <w:sz w:val="32"/>
          <w:szCs w:val="32"/>
        </w:rPr>
        <w:t>市公安局副局长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张勇海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中国人民银行滕州支行行长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以习近平新时代中国特色社会主义思想为指导，深入贯彻落实中央、省、市决策部署，围绕推动高质量发展，加快推进政府职能转变，在深化“放管服”改革的基础上，统筹研究推进政府职能转变和“放管服”改革重要领域、关键环节的重大政策措施，研究拟提请市政府常务会议审议的有关重要事项，协调推动解决重点难点问题，指导督促落实改革措施，更大限度激发市场活力、调动人的积极性和社会创造力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协调小组下设精简行政审批组、优化营商环境组、激励创业创新组、深化商事制度改革组、改善社会服务组５个专题组和综合组、法治组、督查组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个保障组。协调小组办公室设在市政府办公室，董鸿洋同志兼任协调小组办公室主任。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二、协调小组各专题组及主要职责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（一）精简行政审批组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董鸿洋  市政府办公室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段修进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市委组织部副部长、市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" w:eastAsia="仿宋_GB2312" w:cs="仿宋_GB2312"/>
          <w:sz w:val="32"/>
          <w:szCs w:val="32"/>
        </w:rPr>
        <w:t>编办主任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20" w:firstLineChars="6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20" w:firstLineChars="60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孙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勇  </w:t>
      </w:r>
      <w:r>
        <w:rPr>
          <w:rFonts w:hint="eastAsia" w:ascii="仿宋_GB2312" w:hAnsi="仿宋" w:eastAsia="仿宋_GB2312" w:cs="仿宋_GB2312"/>
          <w:sz w:val="32"/>
          <w:szCs w:val="32"/>
        </w:rPr>
        <w:t>市行政审批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_GB2312"/>
          <w:sz w:val="32"/>
          <w:szCs w:val="32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推进市政府行政审批制度改革、投资审批制度改革、工程建设项目审批制度改革。放权方面，协调推进清理和规范各类行政许可等管理事项，继续清理精简投资项目审批、工程建设项目审批、核准等事项，推行区域评估、联合评审、并联审批等。监管方面，规范行政审批行为，审核并督促落实取消下放审批事项的事中事后监管措施。服务方面，协调推进行政审批标准化，打造一体化政务服务平台，推进审批服务便民化，持续开展减证便民行动，提高政府服务质量和效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（二）优化营商环境组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" w:eastAsia="仿宋_GB2312" w:cs="仿宋_GB2312"/>
          <w:sz w:val="32"/>
          <w:szCs w:val="32"/>
        </w:rPr>
        <w:t>和信息化局局长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朱绍邦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马兆鹏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市自然资源局局长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朱秋原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市住房和城乡建设局局长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李长瑞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城乡水务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单金凤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市商务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和投资促进</w:t>
      </w:r>
      <w:r>
        <w:rPr>
          <w:rFonts w:hint="eastAsia" w:ascii="仿宋_GB2312" w:hAnsi="仿宋" w:eastAsia="仿宋_GB2312" w:cs="仿宋_GB2312"/>
          <w:sz w:val="32"/>
          <w:szCs w:val="32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" w:eastAsia="仿宋_GB2312" w:cs="仿宋_GB2312"/>
          <w:sz w:val="32"/>
          <w:szCs w:val="32"/>
        </w:rPr>
        <w:t>环境局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滕州分局</w:t>
      </w:r>
      <w:r>
        <w:rPr>
          <w:rFonts w:hint="eastAsia" w:ascii="仿宋_GB2312" w:hAnsi="仿宋" w:eastAsia="仿宋_GB2312" w:cs="仿宋_GB2312"/>
          <w:sz w:val="32"/>
          <w:szCs w:val="32"/>
        </w:rPr>
        <w:t>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张勇海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中国人民银行滕州支行行长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优化营商环境，提高综合竞争力，打造竞争新优势。放权方面，推进实行统一的市场准入负面清单制度，清理废除妨碍统一市场和公平竞争的各种规定和做法；扩大外资市场准入，促进民间投资，提升贸易便利化水平。监管方面，清理规范审批中介服务，全面推行依清单收费，完善收费监管制度，持续清理规范涉企收费。服务方面，加强产权保护，推动健全知识产权保护体系；加快水电气暖、银行等公用事业领域改革，提升服务质量效率；加强政务诚信建设；建立健全营商环境评价机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（三）激励创业创新组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王印德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工业</w:t>
      </w:r>
      <w:r>
        <w:rPr>
          <w:rFonts w:hint="eastAsia" w:ascii="仿宋_GB2312" w:hAnsi="仿宋" w:eastAsia="仿宋_GB2312" w:cs="仿宋_GB2312"/>
          <w:sz w:val="32"/>
          <w:szCs w:val="32"/>
        </w:rPr>
        <w:t>和信息化局局长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和体育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朱绍邦  </w:t>
      </w:r>
      <w:r>
        <w:rPr>
          <w:rFonts w:hint="eastAsia" w:ascii="仿宋_GB2312" w:hAnsi="仿宋" w:eastAsia="仿宋_GB2312" w:cs="仿宋_GB2312"/>
          <w:sz w:val="32"/>
          <w:szCs w:val="32"/>
        </w:rPr>
        <w:t>市科学技术局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孔繁华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市财政局局长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宋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捷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张志强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市国有资产监督管理局局长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史孝峰  </w:t>
      </w:r>
      <w:r>
        <w:rPr>
          <w:rFonts w:hint="eastAsia" w:ascii="仿宋_GB2312" w:hAnsi="仿宋" w:eastAsia="仿宋_GB2312" w:cs="仿宋_GB2312"/>
          <w:sz w:val="32"/>
          <w:szCs w:val="32"/>
        </w:rPr>
        <w:t>市金融服务中心主任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推进实施创新驱动发展战略，打造大众创业、万众创新升级版，推进新旧动能接续转换。放权方面，协调推进科研经费使用和管理方式改革创新，赋予高校和科技人员更大自主权，提高创新成果转化效率，激发创业创新活力。监管方面，对新兴产业量身定制包容审慎监管模式和标准规范，坚守安全和质量底线。服务方面，协调推动各类主体融通创新，破解创业创新融资难题；改革分配机制，健全保障体系，促进人才合理流动；深化职业资格管理制度改革，加强就业和技能服务，完善对新就业形态的支持措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（四）深化商事制度改革组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张子玉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市市场监督管理局局长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翟传虎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市发展和改革局局长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魏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超  </w:t>
      </w:r>
      <w:r>
        <w:rPr>
          <w:rFonts w:hint="eastAsia" w:ascii="仿宋_GB2312" w:hAnsi="仿宋" w:eastAsia="仿宋_GB2312" w:cs="仿宋_GB2312"/>
          <w:sz w:val="32"/>
          <w:szCs w:val="32"/>
        </w:rPr>
        <w:t>市交通运输局局长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李广耀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市农业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农村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刘书巨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文化和</w:t>
      </w:r>
      <w:r>
        <w:rPr>
          <w:rFonts w:hint="eastAsia" w:ascii="仿宋_GB2312" w:hAnsi="仿宋" w:eastAsia="仿宋_GB2312" w:cs="仿宋_GB2312"/>
          <w:sz w:val="32"/>
          <w:szCs w:val="32"/>
        </w:rPr>
        <w:t>旅游局局长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赵忠宇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枣庄</w:t>
      </w:r>
      <w:r>
        <w:rPr>
          <w:rFonts w:hint="eastAsia" w:ascii="仿宋_GB2312" w:hAnsi="仿宋" w:eastAsia="仿宋_GB2312" w:cs="仿宋_GB2312"/>
          <w:sz w:val="32"/>
          <w:szCs w:val="32"/>
        </w:rPr>
        <w:t>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" w:eastAsia="仿宋_GB2312" w:cs="仿宋_GB2312"/>
          <w:sz w:val="32"/>
          <w:szCs w:val="32"/>
        </w:rPr>
        <w:t>环境局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滕州分局</w:t>
      </w:r>
      <w:r>
        <w:rPr>
          <w:rFonts w:hint="eastAsia" w:ascii="仿宋_GB2312" w:hAnsi="仿宋" w:eastAsia="仿宋_GB2312" w:cs="仿宋_GB2312"/>
          <w:sz w:val="32"/>
          <w:szCs w:val="32"/>
        </w:rPr>
        <w:t>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84" w:firstLineChars="62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许方彬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市税务局局长</w:t>
      </w:r>
    </w:p>
    <w:p>
      <w:pPr>
        <w:adjustRightInd w:val="0"/>
        <w:snapToGrid w:val="0"/>
        <w:spacing w:line="600" w:lineRule="exact"/>
        <w:ind w:firstLine="1984" w:firstLineChars="620"/>
        <w:rPr>
          <w:rFonts w:ascii="仿宋_GB2312" w:hAnsi="仿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赵曰理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市文化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旅游发展中心主任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负责牵头深化商事制度改革，加强和完善市场监管，维护公平竞争市场秩序。放权方面，压缩企业开办时间，全面推开“证照分离”改革，深化“多证合一”改革，推进工业产品生产许可证制度改革，推行简易注销改革。监管方面，健全以“双随机、一公开”监管为基本手段，以重点监管为补充，以信用监管为基础的新型监管机制，推进跨部门联合监管和“互联网＋监管”；规范执法行为和自由裁量权。服务方面，发挥标准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的引领和规范作用，强化标准体系，健全认证认可检验检测体系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楷体_GB2312" w:hAnsi="楷体" w:eastAsia="楷体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（五）</w:t>
      </w:r>
      <w:r>
        <w:rPr>
          <w:rFonts w:ascii="楷体_GB2312" w:hAnsi="楷体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" w:eastAsia="楷体_GB2312" w:cs="楷体_GB2312"/>
          <w:sz w:val="32"/>
          <w:szCs w:val="32"/>
        </w:rPr>
        <w:t>改善社会服务组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组　长：</w:t>
      </w:r>
      <w:r>
        <w:rPr>
          <w:rFonts w:hint="eastAsia" w:ascii="仿宋_GB2312" w:hAnsi="仿宋" w:eastAsia="仿宋_GB2312" w:cs="仿宋_GB2312"/>
          <w:sz w:val="32"/>
          <w:szCs w:val="32"/>
        </w:rPr>
        <w:t>董鸿洋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市政府办公室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主任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" w:eastAsia="仿宋_GB2312" w:cs="仿宋_GB2312"/>
          <w:sz w:val="32"/>
          <w:szCs w:val="32"/>
        </w:rPr>
        <w:t>刘金山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市教育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和体育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朱光耀  </w:t>
      </w:r>
      <w:r>
        <w:rPr>
          <w:rFonts w:hint="eastAsia" w:ascii="仿宋_GB2312" w:hAnsi="仿宋" w:eastAsia="仿宋_GB2312" w:cs="仿宋_GB2312"/>
          <w:sz w:val="32"/>
          <w:szCs w:val="32"/>
        </w:rPr>
        <w:t>市民政局局长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鲁开峰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市司法局局长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宋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捷  </w:t>
      </w:r>
      <w:r>
        <w:rPr>
          <w:rFonts w:hint="eastAsia" w:ascii="仿宋_GB2312" w:hAnsi="仿宋" w:eastAsia="仿宋_GB2312" w:cs="仿宋_GB2312"/>
          <w:sz w:val="32"/>
          <w:szCs w:val="32"/>
        </w:rPr>
        <w:t>市人力资源和社会保障局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孟祥磊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市卫生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" w:eastAsia="仿宋_GB2312" w:cs="仿宋_GB2312"/>
          <w:sz w:val="32"/>
          <w:szCs w:val="32"/>
        </w:rPr>
        <w:t>局局长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ascii="仿宋_GB2312" w:hAnsi="仿宋" w:eastAsia="仿宋_GB2312" w:cs="仿宋_GB2312"/>
          <w:sz w:val="32"/>
          <w:szCs w:val="32"/>
        </w:rPr>
        <w:t>孙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ascii="仿宋_GB2312" w:hAnsi="仿宋" w:eastAsia="仿宋_GB2312" w:cs="仿宋_GB2312"/>
          <w:sz w:val="32"/>
          <w:szCs w:val="32"/>
        </w:rPr>
        <w:t xml:space="preserve">勇  </w:t>
      </w:r>
      <w:r>
        <w:rPr>
          <w:rFonts w:hint="eastAsia" w:ascii="仿宋_GB2312" w:hAnsi="仿宋" w:eastAsia="仿宋_GB2312" w:cs="仿宋_GB2312"/>
          <w:sz w:val="32"/>
          <w:szCs w:val="32"/>
        </w:rPr>
        <w:t>市行政审批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" w:eastAsia="仿宋_GB2312" w:cs="仿宋_GB2312"/>
          <w:sz w:val="32"/>
          <w:szCs w:val="32"/>
        </w:rPr>
        <w:t>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局长</w:t>
      </w:r>
    </w:p>
    <w:p>
      <w:pPr>
        <w:adjustRightInd w:val="0"/>
        <w:snapToGrid w:val="0"/>
        <w:spacing w:line="600" w:lineRule="exact"/>
        <w:ind w:firstLine="1952" w:firstLineChars="61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徐美湖  </w:t>
      </w:r>
      <w:r>
        <w:rPr>
          <w:rFonts w:hint="eastAsia" w:ascii="仿宋_GB2312" w:hAnsi="仿宋" w:eastAsia="仿宋_GB2312" w:cs="仿宋_GB2312"/>
          <w:sz w:val="32"/>
          <w:szCs w:val="32"/>
        </w:rPr>
        <w:t>市公安局副局长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牵头负责协调推进教育、卫生健康、养老、社保以及社会管理等领域“放管服”改革，为人民群众提供便捷高效、公平可及的公共服务。放权方面，协调推进放宽服务业市场准入，调动市场力量增加非基本公共服务供给。监管方面，强化对政府窗口服务的监督，加强公共服务质量监管。服务方面，简化优化民生事项办理流程和手续，推进养老保险、医疗保险等事项异地联网办理；充分运用“互联网＋教育”“互联网＋医疗”等模式，增强优质公共服务资源辐射效应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各专题组的日常工作由组长单位承担。各专题组负责调查研究本领域社会反响大、群众意见集中的问题，协调相关部门对重点难点问题合作攻关，提出改革建议。各专题组的改革建议可在请示市政府分管领导同意后，按程序提交协调小组会议审议。专题组的职责和组成可根据工作需要调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三、协调小组各保障组及主要职责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（一）综合组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组长由市政府办公室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主任</w:t>
      </w:r>
      <w:r>
        <w:rPr>
          <w:rFonts w:hint="eastAsia" w:ascii="仿宋_GB2312" w:hAnsi="仿宋" w:eastAsia="仿宋_GB2312" w:cs="仿宋_GB2312"/>
          <w:sz w:val="32"/>
          <w:szCs w:val="32"/>
        </w:rPr>
        <w:t>董鸿洋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" w:eastAsia="仿宋_GB2312" w:cs="仿宋_GB2312"/>
          <w:sz w:val="32"/>
          <w:szCs w:val="32"/>
        </w:rPr>
        <w:t>担任。负责协调小组及其办公室的日常工作；负责沟通协调各专题组、保障组工作，联系“放管服”改革工作机制；组织开展政府职能转变和“放管服”改革重大问题调查研究，向协调小组提出工作建议；收集汇总相关信息资料，联系主管部门组织媒体做好政策宣传解读和舆论引导工作；联系有关方面专家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围绕政府职能转变和“放管服”改革开展理论研究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提供政策咨询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对重点改革事项进行第三方评估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客观公正地提出意见建议。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（二）法治组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组长由市司法局局长鲁开峰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" w:eastAsia="仿宋_GB2312" w:cs="仿宋_GB2312"/>
          <w:sz w:val="32"/>
          <w:szCs w:val="32"/>
        </w:rPr>
        <w:t>担任。负责对政府职能转变和“放管服”改革措施进行规范性文件审核，及时提出制修订相关规范性文件的建议方案，推动相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关规范性文件立改废释工作，及时将成熟的改革经验制度化等。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（三）督查组</w:t>
      </w:r>
      <w:r>
        <w:rPr>
          <w:rFonts w:hint="eastAsia" w:ascii="楷体_GB2312" w:hAnsi="楷体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</w:rPr>
        <w:t>组长由市委市政府督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办中心主任</w:t>
      </w:r>
      <w:r>
        <w:rPr>
          <w:rFonts w:hint="eastAsia" w:ascii="仿宋_GB2312" w:hAnsi="仿宋" w:eastAsia="仿宋_GB2312" w:cs="仿宋_GB2312"/>
          <w:sz w:val="32"/>
          <w:szCs w:val="32"/>
        </w:rPr>
        <w:t>刘玉继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" w:eastAsia="仿宋_GB2312" w:cs="仿宋_GB2312"/>
          <w:sz w:val="32"/>
          <w:szCs w:val="32"/>
        </w:rPr>
        <w:t>担任负责督促检查政府职能转变和“放管服”改革各项措施贯彻落实情况，核查督办各专题组提出的改革中存在的问题，以及社会对有关改革反映强烈的问题。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（一）强化工作抓总。</w:t>
      </w:r>
      <w:r>
        <w:rPr>
          <w:rFonts w:hint="eastAsia" w:ascii="仿宋_GB2312" w:hAnsi="仿宋" w:eastAsia="仿宋_GB2312" w:cs="仿宋_GB2312"/>
          <w:sz w:val="32"/>
          <w:szCs w:val="32"/>
        </w:rPr>
        <w:t>协调小组要按照中央、省、市决策部署，切实发挥好推进政府职能转变和“放管服”改革的统筹指导和督促落实作用。各专题组和保障组要根据职责分工，细化分阶段重点工作，制定可量化、可考核、有时限的目标任务。协调小组成员和各专题组、保障组组长、副组长需要调整的，由所在单位书面向协调小组办公室提出，由综合组按程序报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（二）强化改革推进。</w:t>
      </w:r>
      <w:r>
        <w:rPr>
          <w:rFonts w:hint="eastAsia" w:ascii="仿宋_GB2312" w:hAnsi="仿宋" w:eastAsia="仿宋_GB2312" w:cs="仿宋_GB2312"/>
          <w:sz w:val="32"/>
          <w:szCs w:val="32"/>
        </w:rPr>
        <w:t>市政府各部门要增强大局意识、责任意识、紧迫意识，自觉扛起改革重任，做深化“放管服”改革的表率，坚持问题导向，找准突破口、把握着力点，涉及本部门的改革任务要及早落实，该放的权坚决放，该办的事加快办，该服务的服务好，主动帮助解决实际困难问题，力求在放权上求实效，在监管上求创新，以务实的举措把改革推向纵深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（三）强化改革创新。</w:t>
      </w:r>
      <w:r>
        <w:rPr>
          <w:rFonts w:hint="eastAsia" w:ascii="仿宋_GB2312" w:hAnsi="仿宋" w:eastAsia="仿宋_GB2312" w:cs="仿宋_GB2312"/>
          <w:sz w:val="32"/>
          <w:szCs w:val="32"/>
        </w:rPr>
        <w:t>要持续完善政府职能转变和“放管服”改革推进机制，因地制宜，锐意探索创新，创造更多管用可行的“一招鲜”。要解放思想，主动对标先进，相互学习借鉴，形成竞相推进改革的生动局面，更大程度激发市场活力、增强内生动力、释放内需潜力，推动经济社会持续健康发展。要积极发挥首创精神，及时总结上报典型经验做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（四）强化协调落实。</w:t>
      </w:r>
      <w:r>
        <w:rPr>
          <w:rFonts w:hint="eastAsia" w:ascii="仿宋_GB2312" w:hAnsi="仿宋" w:eastAsia="仿宋_GB2312" w:cs="仿宋_GB2312"/>
          <w:sz w:val="32"/>
          <w:szCs w:val="32"/>
        </w:rPr>
        <w:t>市委办、市政府办印发的《关于落实深化“一次办好”改革深入推进审批服务便民化工作实施方案》中，涉及机构改革变更的协调单位自动调整为新单位办理，涉及优化营商环境</w:t>
      </w:r>
      <w:r>
        <w:rPr>
          <w:rFonts w:ascii="仿宋_GB2312" w:hAnsi="仿宋" w:eastAsia="仿宋_GB2312" w:cs="仿宋_GB2312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个专项行动中简化获得电力行动牵头部门，明确调整为发展改革局和枣庄供电公司滕州供电部牵头负责。</w:t>
      </w:r>
    </w:p>
    <w:p>
      <w:pPr>
        <w:adjustRightInd w:val="0"/>
        <w:snapToGrid w:val="0"/>
        <w:spacing w:line="600" w:lineRule="exact"/>
        <w:jc w:val="righ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righ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40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滕州市人民政府办公室</w:t>
      </w:r>
    </w:p>
    <w:p>
      <w:pPr>
        <w:adjustRightInd w:val="0"/>
        <w:snapToGrid w:val="0"/>
        <w:spacing w:line="600" w:lineRule="exact"/>
        <w:ind w:right="640" w:firstLine="4800" w:firstLineChars="15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z w:val="32"/>
          <w:szCs w:val="32"/>
        </w:rPr>
        <w:t>9年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400" w:lineRule="exact"/>
        <w:jc w:val="right"/>
        <w:rPr>
          <w:rFonts w:ascii="仿宋_GB2312" w:hAnsi="Arial" w:eastAsia="仿宋_GB2312" w:cs="Times New Roman"/>
          <w:color w:val="000000"/>
          <w:sz w:val="32"/>
          <w:szCs w:val="32"/>
        </w:rPr>
      </w:pPr>
      <w:r>
        <w:pict>
          <v:line id="直线 8" o:spid="_x0000_s1026" o:spt="20" style="position:absolute;left:0pt;margin-top:13pt;height:2pt;width:430.85pt;mso-position-horizontal:center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400" w:lineRule="exact"/>
        <w:ind w:left="984" w:hanging="983" w:hangingChars="35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</w:rPr>
        <w:t>抄送：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市委有关部门，市人大常委会办公室，市政协办公室，</w:t>
      </w:r>
      <w:r>
        <w:rPr>
          <w:rFonts w:hint="eastAsia" w:ascii="仿宋_GB2312" w:eastAsia="仿宋_GB2312" w:cs="仿宋_GB2312"/>
          <w:sz w:val="28"/>
          <w:szCs w:val="28"/>
        </w:rPr>
        <w:t>市监察委，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市法院，市检察院，市人武部。</w:t>
      </w:r>
    </w:p>
    <w:p>
      <w:pPr>
        <w:spacing w:line="200" w:lineRule="exact"/>
        <w:rPr>
          <w:rFonts w:ascii="仿宋_GB2312" w:eastAsia="仿宋_GB2312" w:cs="仿宋_GB2312"/>
          <w:color w:val="000000"/>
          <w:sz w:val="28"/>
          <w:szCs w:val="28"/>
        </w:rPr>
      </w:pPr>
      <w:r>
        <w:pict>
          <v:line id="直线 9" o:spid="_x0000_s1027" o:spt="20" style="position:absolute;left:0pt;margin-top:3.05pt;height:0pt;width:430.85pt;mso-position-horizontal:center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</w:t>
      </w:r>
    </w:p>
    <w:p>
      <w:pPr>
        <w:spacing w:line="400" w:lineRule="exact"/>
        <w:rPr>
          <w:rFonts w:ascii="仿宋_GB2312" w:hAnsi="仿宋_GB2312" w:eastAsia="仿宋_GB2312" w:cs="Times New Roman"/>
          <w:color w:val="000000"/>
          <w:sz w:val="32"/>
          <w:szCs w:val="32"/>
        </w:rPr>
      </w:pPr>
      <w:r>
        <w:pict>
          <v:line id="直线 10" o:spid="_x0000_s1028" o:spt="20" style="position:absolute;left:0pt;margin-top:24.45pt;height:0.6pt;width:430.85pt;mso-position-horizontal:center;z-index:251659264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滕州市人民政府办公室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9年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701" w:right="1701" w:bottom="1701" w:left="1701" w:header="851" w:footer="130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4"/>
        <w:szCs w:val="24"/>
      </w:rPr>
    </w:pPr>
    <w:r>
      <w:rPr>
        <w:rStyle w:val="7"/>
        <w:rFonts w:ascii="宋体" w:hAnsi="宋体" w:cs="宋体"/>
        <w:sz w:val="24"/>
        <w:szCs w:val="24"/>
      </w:rPr>
      <w:fldChar w:fldCharType="begin"/>
    </w:r>
    <w:r>
      <w:rPr>
        <w:rStyle w:val="7"/>
        <w:rFonts w:ascii="宋体" w:hAnsi="宋体" w:cs="宋体"/>
        <w:sz w:val="24"/>
        <w:szCs w:val="24"/>
      </w:rPr>
      <w:instrText xml:space="preserve">PAGE  </w:instrText>
    </w:r>
    <w:r>
      <w:rPr>
        <w:rStyle w:val="7"/>
        <w:rFonts w:ascii="宋体" w:hAnsi="宋体" w:cs="宋体"/>
        <w:sz w:val="24"/>
        <w:szCs w:val="24"/>
      </w:rPr>
      <w:fldChar w:fldCharType="separate"/>
    </w:r>
    <w:r>
      <w:rPr>
        <w:rStyle w:val="7"/>
        <w:rFonts w:ascii="宋体" w:hAnsi="宋体" w:cs="宋体"/>
        <w:sz w:val="24"/>
        <w:szCs w:val="24"/>
      </w:rPr>
      <w:t>- 10 -</w:t>
    </w:r>
    <w:r>
      <w:rPr>
        <w:rStyle w:val="7"/>
        <w:rFonts w:ascii="宋体" w:hAnsi="宋体" w:cs="宋体"/>
        <w:sz w:val="24"/>
        <w:szCs w:val="24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yYTkyZjE0ZTAxMTM0ODE3MDgwZTI1Yzc4Zjc1NDEifQ=="/>
  </w:docVars>
  <w:rsids>
    <w:rsidRoot w:val="00A70CEA"/>
    <w:rsid w:val="00041D09"/>
    <w:rsid w:val="00073B96"/>
    <w:rsid w:val="000E0AFA"/>
    <w:rsid w:val="001036E4"/>
    <w:rsid w:val="001065D9"/>
    <w:rsid w:val="001319E9"/>
    <w:rsid w:val="001348FD"/>
    <w:rsid w:val="00136FD3"/>
    <w:rsid w:val="00152D0E"/>
    <w:rsid w:val="00174DDB"/>
    <w:rsid w:val="001A5AC8"/>
    <w:rsid w:val="001B4744"/>
    <w:rsid w:val="001C07CD"/>
    <w:rsid w:val="001E034D"/>
    <w:rsid w:val="0020069B"/>
    <w:rsid w:val="0022566F"/>
    <w:rsid w:val="0025299F"/>
    <w:rsid w:val="00263BA1"/>
    <w:rsid w:val="002669DB"/>
    <w:rsid w:val="002A0DD5"/>
    <w:rsid w:val="002B0C30"/>
    <w:rsid w:val="0033209B"/>
    <w:rsid w:val="00346EC6"/>
    <w:rsid w:val="00384BF9"/>
    <w:rsid w:val="003B2EB8"/>
    <w:rsid w:val="003B5BB0"/>
    <w:rsid w:val="003E5838"/>
    <w:rsid w:val="003F148F"/>
    <w:rsid w:val="00427AFD"/>
    <w:rsid w:val="00494352"/>
    <w:rsid w:val="00503B85"/>
    <w:rsid w:val="00552531"/>
    <w:rsid w:val="00576729"/>
    <w:rsid w:val="005D228B"/>
    <w:rsid w:val="005D6D42"/>
    <w:rsid w:val="005D7D61"/>
    <w:rsid w:val="005E5327"/>
    <w:rsid w:val="005E6969"/>
    <w:rsid w:val="00672EC6"/>
    <w:rsid w:val="00680F6A"/>
    <w:rsid w:val="006866BF"/>
    <w:rsid w:val="00686DB2"/>
    <w:rsid w:val="00691707"/>
    <w:rsid w:val="006945B3"/>
    <w:rsid w:val="006A4EB8"/>
    <w:rsid w:val="006A7726"/>
    <w:rsid w:val="006C616D"/>
    <w:rsid w:val="006E5BA9"/>
    <w:rsid w:val="007002DB"/>
    <w:rsid w:val="0072176E"/>
    <w:rsid w:val="007234BB"/>
    <w:rsid w:val="007648A0"/>
    <w:rsid w:val="00765D4F"/>
    <w:rsid w:val="00770A35"/>
    <w:rsid w:val="007E3E3E"/>
    <w:rsid w:val="00801E8B"/>
    <w:rsid w:val="00811E42"/>
    <w:rsid w:val="00823DBE"/>
    <w:rsid w:val="00836BA9"/>
    <w:rsid w:val="00843484"/>
    <w:rsid w:val="008A139B"/>
    <w:rsid w:val="008A66BE"/>
    <w:rsid w:val="0090479A"/>
    <w:rsid w:val="009125D9"/>
    <w:rsid w:val="00A11688"/>
    <w:rsid w:val="00A35C34"/>
    <w:rsid w:val="00A70CEA"/>
    <w:rsid w:val="00A839C0"/>
    <w:rsid w:val="00A909B6"/>
    <w:rsid w:val="00A966C2"/>
    <w:rsid w:val="00AB10D2"/>
    <w:rsid w:val="00AF539A"/>
    <w:rsid w:val="00B4450D"/>
    <w:rsid w:val="00B5129B"/>
    <w:rsid w:val="00B7276A"/>
    <w:rsid w:val="00B81DFC"/>
    <w:rsid w:val="00BE2500"/>
    <w:rsid w:val="00C136E7"/>
    <w:rsid w:val="00C4711C"/>
    <w:rsid w:val="00C95815"/>
    <w:rsid w:val="00DA432B"/>
    <w:rsid w:val="00DE161C"/>
    <w:rsid w:val="00E531DB"/>
    <w:rsid w:val="00E92C7A"/>
    <w:rsid w:val="00EE2FAA"/>
    <w:rsid w:val="00EE528A"/>
    <w:rsid w:val="00F26F57"/>
    <w:rsid w:val="00F62B37"/>
    <w:rsid w:val="00FB6B9A"/>
    <w:rsid w:val="00FE1306"/>
    <w:rsid w:val="0F77534C"/>
    <w:rsid w:val="17AB13F2"/>
    <w:rsid w:val="1B2D0ADB"/>
    <w:rsid w:val="1DC02D51"/>
    <w:rsid w:val="3E44119A"/>
    <w:rsid w:val="3EF233D0"/>
    <w:rsid w:val="40103687"/>
    <w:rsid w:val="440C5629"/>
    <w:rsid w:val="49B8460A"/>
    <w:rsid w:val="4B2F0194"/>
    <w:rsid w:val="4BF90931"/>
    <w:rsid w:val="66FD0941"/>
    <w:rsid w:val="6B0E4A21"/>
    <w:rsid w:val="77EFC470"/>
    <w:rsid w:val="A6FFD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left" w:pos="3099"/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Strong"/>
    <w:qFormat/>
    <w:uiPriority w:val="99"/>
    <w:rPr>
      <w:b/>
      <w:bCs/>
    </w:rPr>
  </w:style>
  <w:style w:type="character" w:styleId="7">
    <w:name w:val="page number"/>
    <w:basedOn w:val="5"/>
    <w:qFormat/>
    <w:uiPriority w:val="99"/>
  </w:style>
  <w:style w:type="character" w:customStyle="1" w:styleId="8">
    <w:name w:val="页脚 Char"/>
    <w:link w:val="2"/>
    <w:qFormat/>
    <w:locked/>
    <w:uiPriority w:val="99"/>
    <w:rPr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3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syyw</Company>
  <Pages>10</Pages>
  <Words>3919</Words>
  <Characters>3934</Characters>
  <Lines>30</Lines>
  <Paragraphs>8</Paragraphs>
  <TotalTime>2</TotalTime>
  <ScaleCrop>false</ScaleCrop>
  <LinksUpToDate>false</LinksUpToDate>
  <CharactersWithSpaces>4198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2018-11-05T11:14:00Z</dcterms:created>
  <dc:creator>lenovo</dc:creator>
  <cp:lastModifiedBy>user</cp:lastModifiedBy>
  <cp:lastPrinted>2019-10-31T09:16:00Z</cp:lastPrinted>
  <dcterms:modified xsi:type="dcterms:W3CDTF">2025-03-06T16:46:41Z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8E4E96016780448694B26858714ABCE4</vt:lpwstr>
  </property>
</Properties>
</file>